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2.0" w:type="dxa"/>
        <w:jc w:val="left"/>
        <w:tblInd w:w="93.0" w:type="dxa"/>
        <w:tblLayout w:type="fixed"/>
        <w:tblLook w:val="0400"/>
      </w:tblPr>
      <w:tblGrid>
        <w:gridCol w:w="4551"/>
        <w:gridCol w:w="4551"/>
        <w:tblGridChange w:id="0">
          <w:tblGrid>
            <w:gridCol w:w="4551"/>
            <w:gridCol w:w="4551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Please learn to read and write these words at home.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Please learn to read and write these words at home.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my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am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the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in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Mum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go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is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to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we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here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too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come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big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look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little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96"/>
                <w:szCs w:val="96"/>
                <w:rtl w:val="0"/>
              </w:rPr>
              <w:t xml:space="preserve">at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673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91nCQKiH2nOIuPBr0MlOLakopg==">AMUW2mVMaW+hEUjpAanU0TI8dVIlOsiL8Hm4hsoCIpCg/OohEgHDIzfUk0SmnaZXopvpbn6V8Y+U5WxJRJcVYktdqMNbjhqVnycC9hgqEVwh7NAk3OfdCrKVbUBOFbz6/DNp+S0eueyG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2020-03-18T12:27:00Z</dcterms:created>
  <dc:creator>Jody Jenkins</dc:creator>
</cp:coreProperties>
</file>